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E2EFD9" w:themeColor="accent6" w:themeTint="33"/>
  <w:body>
    <w:p w14:paraId="1185395C" w14:textId="6EEC5129" w:rsidR="00964468" w:rsidRPr="00964468" w:rsidRDefault="00964468" w:rsidP="00964468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964468">
        <w:rPr>
          <w:rFonts w:ascii="Arial" w:hAnsi="Arial" w:cs="Arial"/>
          <w:b/>
          <w:bCs/>
          <w:sz w:val="24"/>
          <w:szCs w:val="24"/>
        </w:rPr>
        <w:t>Brief</w:t>
      </w:r>
    </w:p>
    <w:p w14:paraId="1D6D9D0A" w14:textId="77777777" w:rsidR="000A7297" w:rsidRPr="000A7297" w:rsidRDefault="000A7297" w:rsidP="000A7297">
      <w:pPr>
        <w:jc w:val="both"/>
        <w:rPr>
          <w:rFonts w:ascii="Arial" w:hAnsi="Arial" w:cs="Arial"/>
          <w:sz w:val="24"/>
          <w:szCs w:val="24"/>
        </w:rPr>
      </w:pPr>
      <w:r w:rsidRPr="000A7297">
        <w:rPr>
          <w:rFonts w:ascii="Arial" w:hAnsi="Arial" w:cs="Arial"/>
          <w:sz w:val="24"/>
          <w:szCs w:val="24"/>
        </w:rPr>
        <w:t xml:space="preserve">The company has contractual agreements with telecom operator / customers, including Jio, Airtel, Vi, and BSNL with lock-in periods for sites ranging from 5, 7, 10 to 15 years in terms by Master Service Agreements (MSAs). </w:t>
      </w:r>
    </w:p>
    <w:p w14:paraId="364BF545" w14:textId="3C04664E" w:rsidR="000A7297" w:rsidRPr="000A7297" w:rsidRDefault="000A7297" w:rsidP="000A7297">
      <w:pPr>
        <w:jc w:val="both"/>
        <w:rPr>
          <w:rFonts w:ascii="Arial" w:hAnsi="Arial" w:cs="Arial"/>
          <w:sz w:val="24"/>
          <w:szCs w:val="24"/>
        </w:rPr>
      </w:pPr>
      <w:r w:rsidRPr="000A7297">
        <w:rPr>
          <w:rFonts w:ascii="Arial" w:hAnsi="Arial" w:cs="Arial"/>
          <w:sz w:val="24"/>
          <w:szCs w:val="24"/>
        </w:rPr>
        <w:t xml:space="preserve">Currently, MSAs with </w:t>
      </w:r>
      <w:r>
        <w:rPr>
          <w:rFonts w:ascii="Arial" w:hAnsi="Arial" w:cs="Arial"/>
          <w:sz w:val="24"/>
          <w:szCs w:val="24"/>
        </w:rPr>
        <w:t>3 of</w:t>
      </w:r>
      <w:r w:rsidRPr="000A7297">
        <w:rPr>
          <w:rFonts w:ascii="Arial" w:hAnsi="Arial" w:cs="Arial"/>
          <w:sz w:val="24"/>
          <w:szCs w:val="24"/>
        </w:rPr>
        <w:t xml:space="preserve"> these operators have already expired and the Company is re-negotiating terms of MSAs with these operators. Additionally, more than 6,500 sites have surpassed their respective lock-in periods. Over time, due to annual escalations, the base rental rates at these sites have also nearly doubled compared to their original levels. </w:t>
      </w:r>
    </w:p>
    <w:p w14:paraId="60597FDB" w14:textId="77777777" w:rsidR="000A7297" w:rsidRPr="000A7297" w:rsidRDefault="000A7297" w:rsidP="000A7297">
      <w:pPr>
        <w:jc w:val="both"/>
        <w:rPr>
          <w:rFonts w:ascii="Arial" w:hAnsi="Arial" w:cs="Arial"/>
          <w:sz w:val="24"/>
          <w:szCs w:val="24"/>
        </w:rPr>
      </w:pPr>
      <w:r w:rsidRPr="000A7297">
        <w:rPr>
          <w:rFonts w:ascii="Arial" w:hAnsi="Arial" w:cs="Arial"/>
          <w:sz w:val="24"/>
          <w:szCs w:val="24"/>
        </w:rPr>
        <w:t xml:space="preserve">In light of the current telecom industry dynamics, these telecom operator have expressed concerns over the increased cost per site, which they consider a substantial financial burden. Consequently, they are insisting on a price reset to the original base levels, failing which they may proceed with site exit. </w:t>
      </w:r>
    </w:p>
    <w:p w14:paraId="3D6A61BA" w14:textId="77777777" w:rsidR="000A7297" w:rsidRPr="000A7297" w:rsidRDefault="000A7297" w:rsidP="000A7297">
      <w:pPr>
        <w:jc w:val="both"/>
        <w:rPr>
          <w:rFonts w:ascii="Arial" w:hAnsi="Arial" w:cs="Arial"/>
          <w:sz w:val="24"/>
          <w:szCs w:val="24"/>
        </w:rPr>
      </w:pPr>
      <w:r w:rsidRPr="000A7297">
        <w:rPr>
          <w:rFonts w:ascii="Arial" w:hAnsi="Arial" w:cs="Arial"/>
          <w:sz w:val="24"/>
          <w:szCs w:val="24"/>
        </w:rPr>
        <w:t>To address this situation and mitigate the risk of potential exit, which could result in a complete loss of revenue from these sites, the company has conducted an internal assessment. Based on this evaluation, it is estimated that a price reset would be required, resulting in revenue impact of approximately Rs. 50 crore.</w:t>
      </w:r>
    </w:p>
    <w:p w14:paraId="185B9031" w14:textId="0FD58DFD" w:rsidR="00473048" w:rsidRPr="00964468" w:rsidRDefault="000A7297" w:rsidP="000A7297">
      <w:pPr>
        <w:jc w:val="both"/>
        <w:rPr>
          <w:rFonts w:ascii="Arial" w:hAnsi="Arial" w:cs="Arial"/>
          <w:sz w:val="24"/>
          <w:szCs w:val="24"/>
        </w:rPr>
      </w:pPr>
      <w:r w:rsidRPr="000A7297">
        <w:rPr>
          <w:rFonts w:ascii="Arial" w:hAnsi="Arial" w:cs="Arial"/>
          <w:sz w:val="24"/>
          <w:szCs w:val="24"/>
        </w:rPr>
        <w:t>This potential financial impact has already been factored into the company’s projections.</w:t>
      </w:r>
    </w:p>
    <w:sectPr w:rsidR="00473048" w:rsidRPr="0096446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5DB"/>
    <w:rsid w:val="000A7297"/>
    <w:rsid w:val="00473048"/>
    <w:rsid w:val="004F65E5"/>
    <w:rsid w:val="0058760C"/>
    <w:rsid w:val="00964468"/>
    <w:rsid w:val="00B7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E36CB6"/>
  <w15:chartTrackingRefBased/>
  <w15:docId w15:val="{F8B89C77-7228-46BE-A208-C6CA92D29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00D8B9279B6647B49E2D920F113483" ma:contentTypeVersion="4" ma:contentTypeDescription="Create a new document." ma:contentTypeScope="" ma:versionID="272521d512dd50ea6caf94fd66e87615">
  <xsd:schema xmlns:xsd="http://www.w3.org/2001/XMLSchema" xmlns:xs="http://www.w3.org/2001/XMLSchema" xmlns:p="http://schemas.microsoft.com/office/2006/metadata/properties" xmlns:ns2="22e7486f-2c31-4180-b8cf-806533851c47" targetNamespace="http://schemas.microsoft.com/office/2006/metadata/properties" ma:root="true" ma:fieldsID="27a841ee03e735ba6e1507010535c63e" ns2:_="">
    <xsd:import namespace="22e7486f-2c31-4180-b8cf-806533851c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7486f-2c31-4180-b8cf-806533851c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496686-6775-435E-BDCC-7D21DB3467EF}"/>
</file>

<file path=customXml/itemProps2.xml><?xml version="1.0" encoding="utf-8"?>
<ds:datastoreItem xmlns:ds="http://schemas.openxmlformats.org/officeDocument/2006/customXml" ds:itemID="{F968AE46-8572-4EB7-8B20-08BAAF0383B9}"/>
</file>

<file path=customXml/itemProps3.xml><?xml version="1.0" encoding="utf-8"?>
<ds:datastoreItem xmlns:ds="http://schemas.openxmlformats.org/officeDocument/2006/customXml" ds:itemID="{28CDA34C-6429-48F7-9E24-FF8B78E20B8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194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Akshay Padhye</dc:creator>
  <cp:keywords/>
  <dc:description/>
  <cp:lastModifiedBy>Akshay Padhye</cp:lastModifiedBy>
  <cp:revision>3</cp:revision>
  <dcterms:created xsi:type="dcterms:W3CDTF">2025-02-06T11:07:00Z</dcterms:created>
  <dcterms:modified xsi:type="dcterms:W3CDTF">2025-02-06T11:39:00Z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0x0101009900D8B9279B6647B49E2D920F113483</vt:lpwstr>
  </property>
</Properties>
</file>